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06" w:rsidRPr="00F91706" w:rsidRDefault="00F91706" w:rsidP="00F91706">
      <w:pPr>
        <w:autoSpaceDE w:val="0"/>
        <w:autoSpaceDN w:val="0"/>
        <w:adjustRightInd w:val="0"/>
        <w:spacing w:after="0" w:line="240" w:lineRule="auto"/>
        <w:jc w:val="center"/>
        <w:rPr>
          <w:rFonts w:ascii="GillSans-SemiBold" w:hAnsi="GillSans-SemiBold" w:cs="GillSans-SemiBold"/>
          <w:b/>
          <w:bCs/>
          <w:color w:val="7F7F7F" w:themeColor="text1" w:themeTint="80"/>
        </w:rPr>
      </w:pPr>
      <w:r w:rsidRPr="00F91706">
        <w:rPr>
          <w:rFonts w:ascii="GillSans-SemiBold" w:hAnsi="GillSans-SemiBold" w:cs="GillSans-SemiBold"/>
          <w:b/>
          <w:bCs/>
          <w:color w:val="7F7F7F" w:themeColor="text1" w:themeTint="80"/>
        </w:rPr>
        <w:t>Conférence</w:t>
      </w:r>
    </w:p>
    <w:p w:rsidR="00F91706" w:rsidRPr="00F91706" w:rsidRDefault="00F91706" w:rsidP="00F91706">
      <w:pPr>
        <w:autoSpaceDE w:val="0"/>
        <w:autoSpaceDN w:val="0"/>
        <w:adjustRightInd w:val="0"/>
        <w:spacing w:after="0" w:line="240" w:lineRule="auto"/>
        <w:jc w:val="center"/>
        <w:rPr>
          <w:rFonts w:ascii="GillSans-SemiBold" w:hAnsi="GillSans-SemiBold" w:cs="GillSans-SemiBold"/>
          <w:b/>
          <w:bCs/>
          <w:color w:val="7F7F7F" w:themeColor="text1" w:themeTint="80"/>
        </w:rPr>
      </w:pPr>
      <w:r w:rsidRPr="00F91706">
        <w:rPr>
          <w:rFonts w:ascii="GillSans-SemiBold" w:hAnsi="GillSans-SemiBold" w:cs="GillSans-SemiBold"/>
          <w:b/>
          <w:bCs/>
          <w:color w:val="7F7F7F" w:themeColor="text1" w:themeTint="80"/>
        </w:rPr>
        <w:t xml:space="preserve">Les enjeux de la passation des marchés publics et des contrats de partenariat </w:t>
      </w:r>
      <w:proofErr w:type="spellStart"/>
      <w:r w:rsidRPr="00F91706">
        <w:rPr>
          <w:rFonts w:ascii="GillSans-SemiBold" w:hAnsi="GillSans-SemiBold" w:cs="GillSans-SemiBold"/>
          <w:b/>
          <w:bCs/>
          <w:color w:val="7F7F7F" w:themeColor="text1" w:themeTint="80"/>
        </w:rPr>
        <w:t>public-privé</w:t>
      </w:r>
      <w:proofErr w:type="spellEnd"/>
      <w:r w:rsidRPr="00F91706">
        <w:rPr>
          <w:rFonts w:ascii="GillSans-SemiBold" w:hAnsi="GillSans-SemiBold" w:cs="GillSans-SemiBold"/>
          <w:b/>
          <w:bCs/>
          <w:color w:val="7F7F7F" w:themeColor="text1" w:themeTint="80"/>
        </w:rPr>
        <w:t xml:space="preserve"> dans les espaces CEDEAO et UEMOA</w:t>
      </w:r>
    </w:p>
    <w:p w:rsidR="00F91706" w:rsidRPr="00F91706" w:rsidRDefault="00F91706" w:rsidP="00F91706">
      <w:pPr>
        <w:autoSpaceDE w:val="0"/>
        <w:autoSpaceDN w:val="0"/>
        <w:adjustRightInd w:val="0"/>
        <w:spacing w:after="0" w:line="240" w:lineRule="auto"/>
        <w:jc w:val="center"/>
        <w:rPr>
          <w:rFonts w:ascii="GillSans-SemiBold" w:hAnsi="GillSans-SemiBold" w:cs="GillSans-SemiBold"/>
          <w:b/>
          <w:bCs/>
          <w:color w:val="7F7F7F" w:themeColor="text1" w:themeTint="80"/>
        </w:rPr>
      </w:pPr>
    </w:p>
    <w:p w:rsidR="00F91706" w:rsidRPr="00F91706" w:rsidRDefault="00F91706" w:rsidP="00F91706">
      <w:pPr>
        <w:tabs>
          <w:tab w:val="left" w:pos="2685"/>
        </w:tabs>
        <w:ind w:left="284"/>
        <w:jc w:val="center"/>
        <w:rPr>
          <w:rFonts w:ascii="GillSans-SemiBold" w:hAnsi="GillSans-SemiBold" w:cs="GillSans-SemiBold"/>
          <w:bCs/>
          <w:i/>
          <w:color w:val="7F7F7F" w:themeColor="text1" w:themeTint="80"/>
        </w:rPr>
      </w:pPr>
      <w:r w:rsidRPr="00F91706">
        <w:rPr>
          <w:rFonts w:ascii="GillSans-SemiBold" w:hAnsi="GillSans-SemiBold" w:cs="GillSans-SemiBold"/>
          <w:bCs/>
          <w:i/>
          <w:color w:val="7F7F7F" w:themeColor="text1" w:themeTint="80"/>
        </w:rPr>
        <w:t>Paris, vendredi 15 avril 2016 de 17h30 à 20h</w:t>
      </w:r>
    </w:p>
    <w:p w:rsidR="00F91706" w:rsidRDefault="00F91706" w:rsidP="00F91706">
      <w:pPr>
        <w:autoSpaceDE w:val="0"/>
        <w:autoSpaceDN w:val="0"/>
        <w:adjustRightInd w:val="0"/>
        <w:spacing w:after="0" w:line="240" w:lineRule="auto"/>
        <w:rPr>
          <w:rFonts w:cs="GillSans-SemiBold"/>
          <w:b/>
          <w:bCs/>
          <w:sz w:val="24"/>
          <w:szCs w:val="24"/>
          <w:u w:val="single"/>
        </w:rPr>
      </w:pPr>
      <w:r>
        <w:rPr>
          <w:rFonts w:cs="GillSans-SemiBold"/>
          <w:b/>
          <w:bCs/>
          <w:sz w:val="24"/>
          <w:szCs w:val="24"/>
          <w:u w:val="single"/>
        </w:rPr>
        <w:t xml:space="preserve">Intervention Marc Frilet : </w:t>
      </w:r>
      <w:r w:rsidRPr="007E7E11">
        <w:rPr>
          <w:rFonts w:cs="GillSans-SemiBold"/>
          <w:b/>
          <w:bCs/>
          <w:sz w:val="24"/>
          <w:szCs w:val="24"/>
          <w:u w:val="single"/>
        </w:rPr>
        <w:t xml:space="preserve">Mise en place du cadre institutionnel et juridique comme facteur de réalisation de flux de projets en concession et partenariat </w:t>
      </w:r>
      <w:proofErr w:type="spellStart"/>
      <w:r w:rsidRPr="007E7E11">
        <w:rPr>
          <w:rFonts w:cs="GillSans-SemiBold"/>
          <w:b/>
          <w:bCs/>
          <w:sz w:val="24"/>
          <w:szCs w:val="24"/>
          <w:u w:val="single"/>
        </w:rPr>
        <w:t>public-privé</w:t>
      </w:r>
      <w:proofErr w:type="spellEnd"/>
      <w:r w:rsidRPr="007E7E11">
        <w:rPr>
          <w:rFonts w:cs="GillSans-SemiBold"/>
          <w:b/>
          <w:bCs/>
          <w:sz w:val="24"/>
          <w:szCs w:val="24"/>
          <w:u w:val="single"/>
        </w:rPr>
        <w:t xml:space="preserve"> dans l’espace UEMOA</w:t>
      </w:r>
    </w:p>
    <w:p w:rsidR="00F91706" w:rsidRPr="00F91706" w:rsidRDefault="00F91706" w:rsidP="00F91706">
      <w:pPr>
        <w:autoSpaceDE w:val="0"/>
        <w:autoSpaceDN w:val="0"/>
        <w:adjustRightInd w:val="0"/>
        <w:spacing w:after="0" w:line="240" w:lineRule="auto"/>
        <w:rPr>
          <w:rFonts w:cs="GillSans-SemiBold"/>
          <w:b/>
          <w:bCs/>
          <w:sz w:val="24"/>
          <w:szCs w:val="24"/>
          <w:u w:val="single"/>
        </w:rPr>
      </w:pPr>
    </w:p>
    <w:p w:rsidR="00F91706" w:rsidRDefault="00BA1B4A" w:rsidP="00BA1B4A">
      <w:pPr>
        <w:pStyle w:val="Paragraphedeliste"/>
        <w:numPr>
          <w:ilvl w:val="0"/>
          <w:numId w:val="4"/>
        </w:numPr>
        <w:ind w:left="284" w:hanging="284"/>
        <w:rPr>
          <w:b/>
          <w:sz w:val="24"/>
        </w:rPr>
      </w:pPr>
      <w:r>
        <w:rPr>
          <w:b/>
          <w:sz w:val="24"/>
        </w:rPr>
        <w:t>Le besoin d’infrastructures de service public, état de lieux, problèmes et perspectives</w:t>
      </w:r>
    </w:p>
    <w:p w:rsidR="00BA1B4A" w:rsidRPr="00BA1B4A" w:rsidRDefault="00BA1B4A" w:rsidP="00BA1B4A">
      <w:pPr>
        <w:pStyle w:val="Paragraphedeliste"/>
        <w:ind w:left="284"/>
        <w:rPr>
          <w:b/>
          <w:sz w:val="24"/>
        </w:rPr>
      </w:pPr>
    </w:p>
    <w:p w:rsidR="001D0536" w:rsidRPr="00F91706" w:rsidRDefault="001D0536" w:rsidP="001D0536">
      <w:pPr>
        <w:pStyle w:val="Paragraphedeliste"/>
        <w:numPr>
          <w:ilvl w:val="0"/>
          <w:numId w:val="2"/>
        </w:numPr>
        <w:rPr>
          <w:b/>
        </w:rPr>
      </w:pPr>
      <w:r w:rsidRPr="00F91706">
        <w:rPr>
          <w:b/>
        </w:rPr>
        <w:t>L’engouement de principe pour développer Concessions et autres PPP dans l’espace UEMOA</w:t>
      </w:r>
    </w:p>
    <w:p w:rsidR="001D0536" w:rsidRDefault="001D0536" w:rsidP="001D0536">
      <w:pPr>
        <w:pStyle w:val="Paragraphedeliste"/>
        <w:numPr>
          <w:ilvl w:val="1"/>
          <w:numId w:val="2"/>
        </w:numPr>
      </w:pPr>
      <w:r>
        <w:t>Quelques réussites incontestables mais une majorité de projets avortés ou en détresse</w:t>
      </w:r>
    </w:p>
    <w:p w:rsidR="001D0536" w:rsidRDefault="001D0536" w:rsidP="001D0536">
      <w:pPr>
        <w:pStyle w:val="Paragraphedeliste"/>
        <w:numPr>
          <w:ilvl w:val="2"/>
          <w:numId w:val="2"/>
        </w:numPr>
      </w:pPr>
      <w:r>
        <w:t xml:space="preserve">Première approche : </w:t>
      </w:r>
      <w:r w:rsidR="00BA1B4A">
        <w:t xml:space="preserve">projet par projet comment réussir ? </w:t>
      </w:r>
      <w:r>
        <w:t>(voir intervention Sophie Pignon)</w:t>
      </w:r>
    </w:p>
    <w:p w:rsidR="001D0536" w:rsidRDefault="001D0536" w:rsidP="001D0536">
      <w:pPr>
        <w:pStyle w:val="Paragraphedeliste"/>
        <w:numPr>
          <w:ilvl w:val="2"/>
          <w:numId w:val="2"/>
        </w:numPr>
      </w:pPr>
      <w:r>
        <w:t>Deuxième approche : Comment réussir la réalisation de flux de projets ?</w:t>
      </w:r>
    </w:p>
    <w:p w:rsidR="001D0536" w:rsidRDefault="001D0536" w:rsidP="001D0536">
      <w:pPr>
        <w:pStyle w:val="Paragraphedeliste"/>
        <w:numPr>
          <w:ilvl w:val="3"/>
          <w:numId w:val="2"/>
        </w:numPr>
      </w:pPr>
      <w:r>
        <w:t>les leçons apprises</w:t>
      </w:r>
    </w:p>
    <w:p w:rsidR="001D0536" w:rsidRDefault="001D0536" w:rsidP="001D0536">
      <w:pPr>
        <w:pStyle w:val="Paragraphedeliste"/>
        <w:numPr>
          <w:ilvl w:val="3"/>
          <w:numId w:val="2"/>
        </w:numPr>
      </w:pPr>
      <w:r>
        <w:t>les attentes des pays</w:t>
      </w:r>
    </w:p>
    <w:p w:rsidR="005C0BBD" w:rsidRDefault="001D0536" w:rsidP="00204211">
      <w:pPr>
        <w:pStyle w:val="Paragraphedeliste"/>
        <w:numPr>
          <w:ilvl w:val="3"/>
          <w:numId w:val="2"/>
        </w:numPr>
      </w:pPr>
      <w:r>
        <w:t>les réponses</w:t>
      </w:r>
      <w:r w:rsidR="00BA1B4A">
        <w:t xml:space="preserve"> insuffisantes</w:t>
      </w:r>
      <w:r>
        <w:t xml:space="preserve"> apportées à ce jour par la communauté internationale</w:t>
      </w:r>
    </w:p>
    <w:p w:rsidR="00204211" w:rsidRDefault="00204211" w:rsidP="00204211">
      <w:pPr>
        <w:pStyle w:val="Paragraphedeliste"/>
        <w:ind w:left="2880"/>
      </w:pPr>
    </w:p>
    <w:p w:rsidR="001D0536" w:rsidRPr="00F91706" w:rsidRDefault="00BA1B4A" w:rsidP="005C0BB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Réussir des flux de projets : </w:t>
      </w:r>
      <w:r w:rsidR="00F91706" w:rsidRPr="00F91706">
        <w:rPr>
          <w:b/>
        </w:rPr>
        <w:t>L</w:t>
      </w:r>
      <w:r w:rsidR="001D0536" w:rsidRPr="00F91706">
        <w:rPr>
          <w:b/>
        </w:rPr>
        <w:t>a nécessité d’une nouvelle approche : pourquoi ? comment ?</w:t>
      </w:r>
    </w:p>
    <w:p w:rsidR="001D0536" w:rsidRDefault="001D0536" w:rsidP="00F91706">
      <w:pPr>
        <w:pStyle w:val="Paragraphedeliste"/>
        <w:numPr>
          <w:ilvl w:val="1"/>
          <w:numId w:val="2"/>
        </w:numPr>
      </w:pPr>
      <w:r>
        <w:t xml:space="preserve">les conclusions du G20 de Cannes : </w:t>
      </w:r>
      <w:r w:rsidR="00BA1B4A">
        <w:t xml:space="preserve">la découverte de </w:t>
      </w:r>
      <w:r>
        <w:t xml:space="preserve">l’existence de </w:t>
      </w:r>
      <w:r w:rsidR="00BA1B4A">
        <w:t>"</w:t>
      </w:r>
      <w:r>
        <w:t>Gold Standards</w:t>
      </w:r>
      <w:r w:rsidR="00BA1B4A">
        <w:t>"</w:t>
      </w:r>
      <w:r>
        <w:t xml:space="preserve"> </w:t>
      </w:r>
    </w:p>
    <w:p w:rsidR="001D0536" w:rsidRDefault="001D0536" w:rsidP="00F91706">
      <w:pPr>
        <w:pStyle w:val="Paragraphedeliste"/>
        <w:numPr>
          <w:ilvl w:val="1"/>
          <w:numId w:val="2"/>
        </w:numPr>
      </w:pPr>
      <w:r>
        <w:t xml:space="preserve">le cheminement d’une nouvelle approche </w:t>
      </w:r>
      <w:r w:rsidR="00BA1B4A">
        <w:t>pour formuler et mettre en œuvre des "Gold Standards"</w:t>
      </w:r>
    </w:p>
    <w:p w:rsidR="00BA1B4A" w:rsidRDefault="00BA1B4A" w:rsidP="00BA1B4A">
      <w:pPr>
        <w:pStyle w:val="Paragraphedeliste"/>
        <w:numPr>
          <w:ilvl w:val="2"/>
          <w:numId w:val="2"/>
        </w:numPr>
      </w:pPr>
      <w:r>
        <w:t>Les analyses et les programmes</w:t>
      </w:r>
    </w:p>
    <w:p w:rsidR="001D0536" w:rsidRDefault="001D0536" w:rsidP="00BA1B4A">
      <w:pPr>
        <w:pStyle w:val="Paragraphedeliste"/>
        <w:numPr>
          <w:ilvl w:val="1"/>
          <w:numId w:val="2"/>
        </w:numPr>
      </w:pPr>
      <w:r>
        <w:t xml:space="preserve">le rôle des institutions internationales et le leadership </w:t>
      </w:r>
      <w:r w:rsidR="00BA1B4A">
        <w:t>de</w:t>
      </w:r>
      <w:r>
        <w:t xml:space="preserve"> l’UNECE</w:t>
      </w:r>
      <w:r w:rsidR="00BA1B4A">
        <w:t xml:space="preserve"> à travers l</w:t>
      </w:r>
      <w:r>
        <w:t>es Centres d’Excellence</w:t>
      </w:r>
      <w:r w:rsidR="00BA1B4A">
        <w:t xml:space="preserve"> pour atteindre plus rapidement les objectifs de développement durable (ODD)</w:t>
      </w:r>
    </w:p>
    <w:p w:rsidR="00BA1B4A" w:rsidRDefault="00BA1B4A" w:rsidP="00BA1B4A">
      <w:pPr>
        <w:pStyle w:val="Paragraphedeliste"/>
        <w:numPr>
          <w:ilvl w:val="2"/>
          <w:numId w:val="2"/>
        </w:numPr>
      </w:pPr>
      <w:r>
        <w:t>Le rôle du Centre Global d’Excellence en France et son programme de travail</w:t>
      </w:r>
    </w:p>
    <w:p w:rsidR="00F91706" w:rsidRDefault="00BA1B4A" w:rsidP="00BA1B4A">
      <w:pPr>
        <w:pStyle w:val="Paragraphedeliste"/>
        <w:numPr>
          <w:ilvl w:val="1"/>
          <w:numId w:val="2"/>
        </w:numPr>
      </w:pPr>
      <w:r>
        <w:t>Les principaux</w:t>
      </w:r>
      <w:r w:rsidR="007A2437">
        <w:t xml:space="preserve"> problèmes à traiter de façon ordonnée et coordonnée</w:t>
      </w:r>
    </w:p>
    <w:p w:rsidR="00BA1B4A" w:rsidRDefault="00BA1B4A" w:rsidP="00BA1B4A">
      <w:pPr>
        <w:pStyle w:val="Paragraphedeliste"/>
        <w:numPr>
          <w:ilvl w:val="2"/>
          <w:numId w:val="2"/>
        </w:numPr>
      </w:pPr>
      <w:r>
        <w:t>Le programme de développement des bonnes pratiques et standards : programme conjoint avec les institutions et praticiens dans l’espace UEMOA</w:t>
      </w:r>
    </w:p>
    <w:p w:rsidR="00BA1B4A" w:rsidRDefault="00BA1B4A" w:rsidP="00BA1B4A">
      <w:pPr>
        <w:pStyle w:val="Paragraphedeliste"/>
        <w:ind w:left="1440"/>
      </w:pPr>
    </w:p>
    <w:p w:rsidR="007A2437" w:rsidRPr="00F91706" w:rsidRDefault="00BA1B4A" w:rsidP="00F9170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Comment</w:t>
      </w:r>
      <w:r w:rsidR="005C0BBD" w:rsidRPr="00F91706">
        <w:rPr>
          <w:b/>
        </w:rPr>
        <w:t xml:space="preserve"> mettre en place </w:t>
      </w:r>
      <w:r>
        <w:rPr>
          <w:b/>
        </w:rPr>
        <w:t>le</w:t>
      </w:r>
      <w:r w:rsidR="005C0BBD" w:rsidRPr="00F91706">
        <w:rPr>
          <w:b/>
        </w:rPr>
        <w:t xml:space="preserve"> cadre institutionnel et juridique</w:t>
      </w:r>
      <w:r>
        <w:rPr>
          <w:b/>
        </w:rPr>
        <w:t xml:space="preserve"> suffisamment</w:t>
      </w:r>
      <w:r w:rsidR="005C0BBD" w:rsidRPr="00F91706">
        <w:rPr>
          <w:b/>
        </w:rPr>
        <w:t xml:space="preserve"> complet </w:t>
      </w:r>
      <w:r>
        <w:rPr>
          <w:b/>
        </w:rPr>
        <w:t>préalable à la réalisation d</w:t>
      </w:r>
      <w:r w:rsidR="005C0BBD" w:rsidRPr="00F91706">
        <w:rPr>
          <w:b/>
        </w:rPr>
        <w:t xml:space="preserve">es flux de projets </w:t>
      </w:r>
    </w:p>
    <w:p w:rsidR="00F91706" w:rsidRDefault="005C0BBD" w:rsidP="00F91706">
      <w:pPr>
        <w:pStyle w:val="Paragraphedeliste"/>
        <w:numPr>
          <w:ilvl w:val="2"/>
          <w:numId w:val="2"/>
        </w:numPr>
      </w:pPr>
      <w:r>
        <w:t xml:space="preserve">une approche UEMOA ? </w:t>
      </w:r>
    </w:p>
    <w:p w:rsidR="00F91706" w:rsidRDefault="005C0BBD" w:rsidP="00F91706">
      <w:pPr>
        <w:pStyle w:val="Paragraphedeliste"/>
        <w:numPr>
          <w:ilvl w:val="2"/>
          <w:numId w:val="2"/>
        </w:numPr>
      </w:pPr>
      <w:r>
        <w:t xml:space="preserve">une approche OHADA ? </w:t>
      </w:r>
    </w:p>
    <w:p w:rsidR="00F91706" w:rsidRDefault="005C0BBD" w:rsidP="00F91706">
      <w:pPr>
        <w:pStyle w:val="Paragraphedeliste"/>
        <w:numPr>
          <w:ilvl w:val="2"/>
          <w:numId w:val="2"/>
        </w:numPr>
      </w:pPr>
      <w:r>
        <w:t xml:space="preserve">Une approche pays ? </w:t>
      </w:r>
    </w:p>
    <w:p w:rsidR="001D0536" w:rsidRDefault="005C0BBD" w:rsidP="001D0536">
      <w:pPr>
        <w:pStyle w:val="Paragraphedeliste"/>
        <w:numPr>
          <w:ilvl w:val="2"/>
          <w:numId w:val="2"/>
        </w:numPr>
      </w:pPr>
      <w:r>
        <w:t xml:space="preserve">une application directe de standards UN à venir ? Appréciation critique et propositions (ex: intégrité et transparence, conditions de préparation et de mise en concurrence, principes du droit des contrats publics équilibrés </w:t>
      </w:r>
    </w:p>
    <w:sectPr w:rsidR="001D0536" w:rsidSect="001D0536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BD" w:rsidRDefault="005C0BBD" w:rsidP="001D0536">
      <w:pPr>
        <w:spacing w:after="0" w:line="240" w:lineRule="auto"/>
      </w:pPr>
      <w:r>
        <w:separator/>
      </w:r>
    </w:p>
  </w:endnote>
  <w:endnote w:type="continuationSeparator" w:id="0">
    <w:p w:rsidR="005C0BBD" w:rsidRDefault="005C0BBD" w:rsidP="001D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BD" w:rsidRDefault="005C0BBD" w:rsidP="001D0536">
      <w:pPr>
        <w:spacing w:after="0" w:line="240" w:lineRule="auto"/>
      </w:pPr>
      <w:r>
        <w:separator/>
      </w:r>
    </w:p>
  </w:footnote>
  <w:footnote w:type="continuationSeparator" w:id="0">
    <w:p w:rsidR="005C0BBD" w:rsidRDefault="005C0BBD" w:rsidP="001D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BD" w:rsidRDefault="005C0BBD">
    <w:pPr>
      <w:pStyle w:val="En-tte"/>
    </w:pPr>
    <w:r>
      <w:rPr>
        <w:noProof/>
        <w:lang w:eastAsia="fr-FR"/>
      </w:rPr>
      <w:drawing>
        <wp:inline distT="0" distB="0" distL="0" distR="0">
          <wp:extent cx="941070" cy="777240"/>
          <wp:effectExtent l="19050" t="0" r="0" b="0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D0536">
      <w:drawing>
        <wp:inline distT="0" distB="0" distL="0" distR="0">
          <wp:extent cx="1032510" cy="647700"/>
          <wp:effectExtent l="1905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BBD" w:rsidRDefault="005C0BB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2FAF"/>
    <w:multiLevelType w:val="hybridMultilevel"/>
    <w:tmpl w:val="48FE8E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1FB"/>
    <w:multiLevelType w:val="hybridMultilevel"/>
    <w:tmpl w:val="BA7EFF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0097C"/>
    <w:multiLevelType w:val="hybridMultilevel"/>
    <w:tmpl w:val="328A69E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A31FE"/>
    <w:multiLevelType w:val="hybridMultilevel"/>
    <w:tmpl w:val="2256C3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0536"/>
    <w:rsid w:val="001113D7"/>
    <w:rsid w:val="001B40D5"/>
    <w:rsid w:val="001D0536"/>
    <w:rsid w:val="00204211"/>
    <w:rsid w:val="00544011"/>
    <w:rsid w:val="005C0BBD"/>
    <w:rsid w:val="007A2437"/>
    <w:rsid w:val="00802FE5"/>
    <w:rsid w:val="009D0D02"/>
    <w:rsid w:val="00AC45B0"/>
    <w:rsid w:val="00B631D2"/>
    <w:rsid w:val="00BA1B4A"/>
    <w:rsid w:val="00C96903"/>
    <w:rsid w:val="00F9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5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D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536"/>
  </w:style>
  <w:style w:type="paragraph" w:styleId="Pieddepage">
    <w:name w:val="footer"/>
    <w:basedOn w:val="Normal"/>
    <w:link w:val="PieddepageCar"/>
    <w:uiPriority w:val="99"/>
    <w:semiHidden/>
    <w:unhideWhenUsed/>
    <w:rsid w:val="001D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0536"/>
  </w:style>
  <w:style w:type="paragraph" w:styleId="Textedebulles">
    <w:name w:val="Balloon Text"/>
    <w:basedOn w:val="Normal"/>
    <w:link w:val="TextedebullesCar"/>
    <w:uiPriority w:val="99"/>
    <w:semiHidden/>
    <w:unhideWhenUsed/>
    <w:rsid w:val="001D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Frilet</dc:creator>
  <cp:lastModifiedBy>Marc Frilet</cp:lastModifiedBy>
  <cp:revision>2</cp:revision>
  <cp:lastPrinted>2016-04-13T17:23:00Z</cp:lastPrinted>
  <dcterms:created xsi:type="dcterms:W3CDTF">2016-04-13T17:27:00Z</dcterms:created>
  <dcterms:modified xsi:type="dcterms:W3CDTF">2016-04-13T17:27:00Z</dcterms:modified>
</cp:coreProperties>
</file>